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D856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 tổ chức, cá nhân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957045">
        <w:rPr>
          <w:rFonts w:ascii="Times New Roman" w:hAnsi="Times New Roman"/>
          <w:color w:val="000000"/>
          <w:spacing w:val="-2"/>
          <w:sz w:val="24"/>
          <w:szCs w:val="24"/>
        </w:rPr>
        <w:t>Công ty TNHH Yang Ming Shipping (Việt Nam)</w:t>
      </w:r>
    </w:p>
    <w:p w14:paraId="3ED0238C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giao dịch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Tầng 19, Tòa nhà Ree Tower, số 9, đường Đoàn Văn Bơ, Phường 13, Quận 4, Thành phố Hồ Chí Minh, Việt Nam</w:t>
      </w:r>
    </w:p>
    <w:p w14:paraId="51F09690" w14:textId="77777777" w:rsidR="00193C87" w:rsidRDefault="00193C87" w:rsidP="00193C87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điện thoại liên lạc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028-38254589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Fax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E401AC">
        <w:rPr>
          <w:rFonts w:ascii="Times New Roman" w:hAnsi="Times New Roman"/>
          <w:color w:val="000000"/>
          <w:spacing w:val="-2"/>
          <w:sz w:val="24"/>
          <w:szCs w:val="24"/>
        </w:rPr>
        <w:t>028-38254269</w:t>
      </w:r>
    </w:p>
    <w:p w14:paraId="15CCF0F3" w14:textId="73F9A14E" w:rsidR="00193C87" w:rsidRDefault="00193C87" w:rsidP="00193C87">
      <w:pPr>
        <w:spacing w:before="60" w:after="60" w:line="264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trang thông tin điện tử doanh nghiêp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hyperlink r:id="rId10" w:history="1">
        <w:r w:rsidR="002B7AC4" w:rsidRPr="00154FF6">
          <w:rPr>
            <w:rStyle w:val="Hyperlink"/>
          </w:rPr>
          <w:t>https://yml.com.vn/</w:t>
        </w:r>
      </w:hyperlink>
      <w:r w:rsidR="002B7AC4">
        <w:t xml:space="preserve"> </w:t>
      </w:r>
    </w:p>
    <w:p w14:paraId="54467D36" w14:textId="77777777" w:rsidR="002E774D" w:rsidRDefault="002E774D" w:rsidP="000F2AA6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208EB602" w14:textId="1F63D747" w:rsidR="009E42B3" w:rsidRPr="00871191" w:rsidRDefault="00415C47" w:rsidP="009E42B3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OUTBOUND </w:t>
      </w:r>
      <w:r w:rsidR="009E42B3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LOCAL CHARGE &amp; TRADE CHARGE TARIFF IN VIETNAM</w:t>
      </w:r>
    </w:p>
    <w:p w14:paraId="17AACF5A" w14:textId="4D261AB9" w:rsidR="009E42B3" w:rsidRDefault="009E42B3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 thu ngoài giá cước vận tải container quốc tế bằng đường biển tại cảng biển Việt Nam</w:t>
      </w:r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cho hàng xuất khẩu</w:t>
      </w:r>
    </w:p>
    <w:p w14:paraId="49DC1741" w14:textId="77777777" w:rsidR="006B2004" w:rsidRPr="006B2004" w:rsidRDefault="006B2004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0EE17468" w14:textId="61CC08AE" w:rsidR="00D127C9" w:rsidRDefault="00D127C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(Vui lòng liên hệ để biết thêm chi tiết):</w:t>
      </w:r>
    </w:p>
    <w:p w14:paraId="6B75F172" w14:textId="2A695ACB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AD1E998" w14:textId="2C22A9BA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8D6060F" w14:textId="7355D41D" w:rsidR="005C2898" w:rsidRDefault="005C2898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01F3660" w14:textId="39D1B095" w:rsidR="00673468" w:rsidRDefault="00C96C59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  <w:bookmarkStart w:id="0" w:name="_Hlk98748771"/>
    </w:p>
    <w:p w14:paraId="4A0C6544" w14:textId="5B941DAC" w:rsidR="00E61497" w:rsidRDefault="00E61497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tbl>
      <w:tblPr>
        <w:tblW w:w="14850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600"/>
        <w:gridCol w:w="2700"/>
        <w:gridCol w:w="2790"/>
        <w:gridCol w:w="2880"/>
        <w:gridCol w:w="2880"/>
      </w:tblGrid>
      <w:tr w:rsidR="0076228A" w:rsidRPr="0076228A" w14:paraId="2338FDBF" w14:textId="77777777" w:rsidTr="0076228A">
        <w:trPr>
          <w:trHeight w:val="56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855F6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63222118"/>
            <w:bookmarkEnd w:id="0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AA3A8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A95134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1185C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F44F3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76228A" w:rsidRPr="0076228A" w14:paraId="749A80F2" w14:textId="77777777" w:rsidTr="0076228A">
        <w:trPr>
          <w:trHeight w:val="29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3C6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F87E0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089BA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47405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7BFCB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76228A" w:rsidRPr="0076228A" w14:paraId="54670A83" w14:textId="77777777" w:rsidTr="0076228A">
        <w:trPr>
          <w:trHeight w:val="57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1B1E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72303FF" w14:textId="247F8A8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chưa bao gồm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5D2AFF" w14:textId="70F8DA44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chưa bao gồm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475EEA" w14:textId="409B2261" w:rsidR="0076228A" w:rsidRPr="0076228A" w:rsidRDefault="0076228A" w:rsidP="0076228A">
            <w:pPr>
              <w:spacing w:before="60" w:after="60" w:line="264" w:lineRule="auto"/>
              <w:jc w:val="center"/>
              <w:rPr>
                <w:b/>
                <w:bCs/>
                <w:color w:val="000000" w:themeColor="text1"/>
                <w:spacing w:val="-2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>
              <w:rPr>
                <w:color w:val="000000" w:themeColor="text1"/>
                <w:spacing w:val="-2"/>
              </w:rPr>
              <w:t>thuế</w:t>
            </w:r>
            <w:r w:rsidRPr="003E0FC2">
              <w:rPr>
                <w:color w:val="000000" w:themeColor="text1"/>
                <w:spacing w:val="-2"/>
              </w:rPr>
              <w:t xml:space="preserve"> GTGT: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3E0FC2">
              <w:rPr>
                <w:color w:val="000000" w:themeColor="text1"/>
                <w:spacing w:val="-2"/>
              </w:rPr>
              <w:t>KHAC: 5,26%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7110E87" w14:textId="7BA886D0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>
              <w:rPr>
                <w:color w:val="000000" w:themeColor="text1"/>
                <w:spacing w:val="-2"/>
              </w:rPr>
              <w:t>thuế</w:t>
            </w:r>
            <w:r w:rsidRPr="003E0FC2">
              <w:rPr>
                <w:color w:val="000000" w:themeColor="text1"/>
                <w:spacing w:val="-2"/>
              </w:rPr>
              <w:t xml:space="preserve"> GTGT: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3E0FC2">
              <w:rPr>
                <w:color w:val="000000" w:themeColor="text1"/>
                <w:spacing w:val="-2"/>
              </w:rPr>
              <w:t>KHAC: 5,26%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69267575" w14:textId="77777777" w:rsidTr="0076228A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29A5" w14:textId="3C95906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THC (Phụ thu xếp dỡ container)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618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4A6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CFC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B8B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76228A" w:rsidRPr="0076228A" w14:paraId="0E9877CA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B0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SEAL (Phụ thu niêm chì)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F41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VND205,000/ UNIT (cái)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3F0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VND215,789/ UNIT (cái)</w:t>
            </w:r>
          </w:p>
        </w:tc>
      </w:tr>
      <w:tr w:rsidR="0076228A" w:rsidRPr="0076228A" w14:paraId="65BB9D46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334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DOC FEE (Phụ thu chứng từ)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351A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F617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76228A" w:rsidRPr="0076228A" w14:paraId="5A0FEB24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6E5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TELEX FEE (Phụ thu điện thả hàng)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F706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8D7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76228A" w:rsidRPr="0076228A" w14:paraId="0A120BD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B346" w14:textId="50D181E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Kông, Đài Loan, Philippines, Singapore, Malaysia, </w:t>
            </w:r>
            <w:r w:rsidRPr="0076228A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Indonesia, Thái Lan, Campuchia) - (Phụ thu phí xăng dầu)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4D2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USD91/182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EC3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332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4C7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76228A" w:rsidRPr="0076228A" w14:paraId="17D7CAEC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CB05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AC4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57E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AAD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818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76228A" w:rsidRPr="0076228A" w14:paraId="7D1B39E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8019" w14:textId="10707300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II: Trung và Bắc Trung Quốc, Nhật Bản, Hàn Quốc, Myanmar) - (Phụ thu phí xăng dầu)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1A0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057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8E8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CB4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76228A" w:rsidRPr="0076228A" w14:paraId="4CC275F7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9431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79A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0E7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71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EB5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76228A" w:rsidRPr="0076228A" w14:paraId="1DE6BFDE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6204" w14:textId="44F88DC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SOUTH ASIA - (Phụ thu phí xăng dầu khu vực Nam Á)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12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9E7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8DC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F4D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76228A" w:rsidRPr="0076228A" w14:paraId="687C510B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6B9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0F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B8F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EF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A90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76228A" w:rsidRPr="0076228A" w14:paraId="216F008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105B" w14:textId="0E650AA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RED SEA - (Phụ thu phí xăng dầu khu vực Biển Đỏ)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221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8F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8BE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887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76228A" w:rsidRPr="0076228A" w14:paraId="52D172CF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3A62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72E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71E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28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F4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76228A" w:rsidRPr="0076228A" w14:paraId="3C3BE27C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4A76" w14:textId="4C2DC44C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MIDDLE EAST SEA - (Phụ thu phí xăng dầu khu vực Trung Đông</w:t>
            </w:r>
            <w:r w:rsidR="00225FBE">
              <w:rPr>
                <w:rFonts w:ascii="Times New Roman" w:eastAsia="Times New Roman" w:hAnsi="Times New Roman" w:cs="Times New Roman"/>
                <w:color w:val="0E284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73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23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6CA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F1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76228A" w:rsidRPr="0076228A" w14:paraId="226C48D4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C8D2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16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31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1B9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590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76228A" w:rsidRPr="0076228A" w14:paraId="01F0A03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9F38" w14:textId="12D06F8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AUSTRALIA SEA - (Phụ thu phí xăng dầu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F5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8DA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7A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BA4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76228A" w:rsidRPr="0076228A" w14:paraId="055315B0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51E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BE0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D81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0A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EAA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76228A" w:rsidRPr="0076228A" w14:paraId="1D21DA54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AE91" w14:textId="61525DC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(Phụ thu phí xăng dầu khu vực Nam Mỹ - Bờ Đông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E24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32A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21E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0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76228A" w:rsidRPr="0076228A" w14:paraId="20DFCF3A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8AC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D77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E9C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CF8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76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76228A" w:rsidRPr="0076228A" w14:paraId="1D9CCC3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9EA0" w14:textId="2FE5C603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SOUTH AMERICA (West Coast) - (Phụ thu phí xăng dầu khu vực Nam Mỹ - Bờ Tây)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4B5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FC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9C6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116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76228A" w:rsidRPr="0076228A" w14:paraId="20BB05EF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593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568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129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28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740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76228A" w:rsidRPr="0076228A" w14:paraId="6DC892EC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64CF" w14:textId="1CEA2594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CENTRAL AMERICA - (Phụ thu phí xăng dầu khu vực Trung Mỹ)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41E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FE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E81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12F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76228A" w:rsidRPr="0076228A" w14:paraId="37776F07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94CB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C2C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31F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09A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56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76228A" w:rsidRPr="0076228A" w14:paraId="236DA6F0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208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AH - Phụ thu trình manifest hàng đi Trung Quốc và Nhật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E13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EA14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76228A" w:rsidRPr="0076228A" w14:paraId="74DA6038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1AF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Certificate (Phụ thu chứng thư theo yêu cầu khách hàng)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9FF3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VND600,000/bộ chứng thư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369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VND631,579/bộ chứng thư</w:t>
            </w:r>
          </w:p>
        </w:tc>
      </w:tr>
      <w:tr w:rsidR="0076228A" w:rsidRPr="0076228A" w14:paraId="34B5FBD2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34B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76228A" w:rsidRPr="0076228A" w14:paraId="0E8EB76D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A73F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Middle east trade (khu vực Trung Đông)</w:t>
            </w:r>
          </w:p>
        </w:tc>
      </w:tr>
      <w:tr w:rsidR="0076228A" w:rsidRPr="0076228A" w14:paraId="75DF11A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800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659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F0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BD0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594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A3C271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4D5C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663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432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62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C93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BC3D7F1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6A5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472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4C6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21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FEA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AA6D8B3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FE8A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400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6C4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369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F5C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8C34D72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3FDF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Red Sea trade (Khu vực Biển Đỏ)</w:t>
            </w:r>
          </w:p>
        </w:tc>
      </w:tr>
      <w:tr w:rsidR="0076228A" w:rsidRPr="0076228A" w14:paraId="33F0228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B7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18.4 tấn đến 23.3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CA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196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7A1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71C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A7E061C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62F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9A5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B1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25C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FF8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88B3E92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23C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23.4 tấn đến 26.3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9D2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76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A97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038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F375459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C34B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1E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983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873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637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CFBC74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E56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58B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419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F5A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D40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3E401E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8860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53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B50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064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025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B9F8050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97CA5" w14:textId="5DB052FD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vực Trung và Nam Mỹ) - 20DC/RF </w:t>
            </w:r>
          </w:p>
        </w:tc>
      </w:tr>
      <w:tr w:rsidR="0076228A" w:rsidRPr="0076228A" w14:paraId="10E057C3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43A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EED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055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ED8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1A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DAF65E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9CE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DA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B8F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62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88F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595CD081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8BE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873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48C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026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A45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2C2B1B5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7C23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F67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694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97E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E50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E1F7E46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2BC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International Ship and Port Facility Security Code - Phụ phí an ninh (khu vực Biển Đỏ/Sokna/ Port Sudan)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3F53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234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76228A" w:rsidRPr="0076228A" w14:paraId="0DF8BD1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BF68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949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A9F9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9B0654" w:rsidRPr="0076228A" w14:paraId="69ACA594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0543" w14:textId="146D44F7" w:rsidR="009B0654" w:rsidRPr="0076228A" w:rsidRDefault="009B0654" w:rsidP="009B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6228A">
              <w:rPr>
                <w:rFonts w:ascii="Times New Roman" w:eastAsia="Times New Roman" w:hAnsi="Times New Roman" w:cs="Times New Roman"/>
                <w:color w:val="FF0000"/>
              </w:rPr>
              <w:t>ETS – NCP trade - (Phụ phí phát thải châu Âu) – giá từ tháng 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76228A">
              <w:rPr>
                <w:rFonts w:ascii="Times New Roman" w:eastAsia="Times New Roman" w:hAnsi="Times New Roman" w:cs="Times New Roman"/>
                <w:color w:val="FF0000"/>
              </w:rPr>
              <w:t>/2025 đến khi có thông báo mới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9B41" w14:textId="4E77BFFC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EUR38/76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E421" w14:textId="06FF6EAE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EUR55/110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A5D3" w14:textId="5FDD0CAB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 EUR40/80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4F58" w14:textId="1810759A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EUR58/116 (20RF/40RQ) </w:t>
            </w:r>
          </w:p>
        </w:tc>
      </w:tr>
      <w:tr w:rsidR="009B0654" w:rsidRPr="0076228A" w14:paraId="5783F89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0AF7" w14:textId="77777777" w:rsidR="009B0654" w:rsidRPr="0076228A" w:rsidRDefault="009B0654" w:rsidP="009B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644C" w14:textId="207120B0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VND1,048,800/2,097,600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84C9" w14:textId="25E874C6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VND1,518,000/3,036,000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F04E" w14:textId="313D98E5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 VND1,104,000/2,208,000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BFA5" w14:textId="0286855B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VND1,597,895/3,195,789 </w:t>
            </w:r>
          </w:p>
        </w:tc>
      </w:tr>
      <w:tr w:rsidR="009B0654" w:rsidRPr="0076228A" w14:paraId="135EF5B1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2539" w14:textId="61773943" w:rsidR="009B0654" w:rsidRPr="0076228A" w:rsidRDefault="009B0654" w:rsidP="009B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ETS – NCP trade - (Phụ phí phát thải châu Âu) – giá đến hết tháng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E548" w14:textId="700090ED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EUR37/74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D273" w14:textId="76CFC539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EUR54/108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50B5" w14:textId="492C1831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EUR39/78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FBCF" w14:textId="5B9C18CA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EUR57/114 (20RF/40RQ)</w:t>
            </w:r>
          </w:p>
        </w:tc>
      </w:tr>
      <w:tr w:rsidR="009B0654" w:rsidRPr="0076228A" w14:paraId="4D5D9519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3156" w14:textId="77777777" w:rsidR="009B0654" w:rsidRPr="0076228A" w:rsidRDefault="009B0654" w:rsidP="009B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642" w14:textId="766C372C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VND1,021,200/2,042,400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7FE5" w14:textId="43B5FA5A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VND1,490,400/2,980,800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5FEF" w14:textId="66B5F842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VND1,074,947/2,149,895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5BAB" w14:textId="59884CAC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VND1,568,842/3,137,684</w:t>
            </w:r>
          </w:p>
        </w:tc>
      </w:tr>
      <w:tr w:rsidR="009B0654" w:rsidRPr="0076228A" w14:paraId="4C2FC129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C217" w14:textId="54AD8610" w:rsidR="009B0654" w:rsidRPr="0076228A" w:rsidRDefault="009B0654" w:rsidP="009B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 xml:space="preserve">ETS – MED trade - (Phụ phí phát thải Địa Trung Hải)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B64F" w14:textId="48550D63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EUR34/68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D940" w14:textId="594C703B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EUR50/100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6350" w14:textId="46995B9B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EUR36/72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BFAB" w14:textId="5AFCFA29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EUR53/105 (20RF/40RQ)</w:t>
            </w:r>
          </w:p>
        </w:tc>
      </w:tr>
      <w:tr w:rsidR="009B0654" w:rsidRPr="0076228A" w14:paraId="74C302F6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2B04" w14:textId="77777777" w:rsidR="009B0654" w:rsidRPr="0076228A" w:rsidRDefault="009B0654" w:rsidP="009B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3296" w14:textId="7FB8D9A9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VND938,400/1,876,800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812E" w14:textId="506E5F41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VND1,380,000/2,760,000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8FA3" w14:textId="53E6FF04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VND987,789/1,975,579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3675" w14:textId="184F5CB3" w:rsidR="009B0654" w:rsidRPr="0076228A" w:rsidRDefault="009B0654" w:rsidP="009B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VND1,452,632/2,905,263</w:t>
            </w:r>
          </w:p>
        </w:tc>
      </w:tr>
      <w:tr w:rsidR="0076228A" w:rsidRPr="0076228A" w14:paraId="3FD9915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DCAB" w14:textId="39C37622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NCPW TRADE - (Phụ thu phí xăng dầu châu Âu)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74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667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490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958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76228A" w:rsidRPr="0076228A" w14:paraId="043367E9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B2D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C1D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609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6FC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EBF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76228A" w:rsidRPr="0076228A" w14:paraId="729E3B8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1A0E" w14:textId="1A97CF98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MEDW TRADE - (Phụ thu phí xăng dầu Địa Trung Hải)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5EB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148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6F0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5B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76228A" w:rsidRPr="0076228A" w14:paraId="59DEA2E7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FBF2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26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671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1E2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592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76228A" w:rsidRPr="0076228A" w14:paraId="3516E05A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562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2E98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55FB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76228A" w:rsidRPr="0076228A" w14:paraId="2D66EAF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BE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E68F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D573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76228A" w:rsidRPr="0076228A" w14:paraId="508C1508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ACDF" w14:textId="4D03BA82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D3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3CE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76228A" w:rsidRPr="0076228A" w14:paraId="445763B0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FB1F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42D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224B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76228A" w:rsidRPr="0076228A" w14:paraId="51A8B597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81D4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76228A" w:rsidRPr="0076228A" w14:paraId="70C532C4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B388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Mediterranean trade: Địa Trung Hải</w:t>
            </w:r>
          </w:p>
        </w:tc>
      </w:tr>
      <w:tr w:rsidR="0076228A" w:rsidRPr="0076228A" w14:paraId="3896799B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7639" w14:textId="2316E139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Từ 18 tấn đến dưới 22.5 tấn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4DA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336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60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465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3A63F5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40EC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5EC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CF9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786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934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CE97CEE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F010" w14:textId="3FCB12E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Từ 22.5 tấn trở lên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53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7C1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13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C56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59DDB1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7A6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E17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B55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91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751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49D29E6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4AB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Europe trade: châu Âu</w:t>
            </w:r>
          </w:p>
        </w:tc>
      </w:tr>
      <w:tr w:rsidR="0076228A" w:rsidRPr="0076228A" w14:paraId="52D5B7A0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4A9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18 tấn đến 22.399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3F8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BCC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96E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102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587B8F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55B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DF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21F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F0A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DEB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C75FC5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D00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22.40 tấn đến 26.399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4C2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4E4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F3F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CDE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416FB35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7A0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87D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89F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A56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C7C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FBB31E0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603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9DC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06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1E5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E79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902FB9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2E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F7B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00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738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02D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5A851BE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025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(Phụ thu cân bằng container- HAYDARPASA)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56A5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D88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76228A" w:rsidRPr="0076228A" w14:paraId="23218998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BFE6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8F1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FC2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76228A" w:rsidRPr="0076228A" w14:paraId="16C22CF9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528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(Phụ thu cho hàng trung chuyến/đến Thổ Nhĩ Kỳ)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E0E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CCC3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76228A" w:rsidRPr="0076228A" w14:paraId="7EC3E0B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416A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3E4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4476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76228A" w:rsidRPr="0076228A" w14:paraId="68196C7E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52A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ENS Phụ thu hải quan (hàng đi Châu Âu và Địa Trung Hải)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E9A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9652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76228A" w:rsidRPr="0076228A" w14:paraId="21316D8A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FEF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SQ Phụ thu hải quan (hàng đi Mỹ và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C709" w14:textId="285BDC1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VND739,200/bill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8696E" w14:textId="14B2D4E8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USD32/bill 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VND778,105/bill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050D3124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130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SQ Phụ thu hải quan (hàng đi Nam Mỹ)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1A2F" w14:textId="6FEECA55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VND862,400/bill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55B8" w14:textId="726FF35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USD37/bill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VND907,789/bill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32719BFC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D58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VS Phụ thu an ninh hàng hải (hàng đi Mỹ/Nam Mỹ và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625EF" w14:textId="34315B7F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VND690,000/box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1AC4" w14:textId="52392B8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USD16/box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VND389,053/box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45894683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D0A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Late AMS (Phí chậm khai hải quan cho hàng đi Mỹ và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6D37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C321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76228A" w:rsidRPr="0076228A" w14:paraId="3ABB310E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D9F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Bill Correction (Phí chỉnh sửa 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CD4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VND1,150,000/time (lần)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CD4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VND1,210,526/time (lần)</w:t>
            </w:r>
          </w:p>
        </w:tc>
      </w:tr>
      <w:tr w:rsidR="0076228A" w:rsidRPr="0076228A" w14:paraId="7319F6A3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B55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Late payment fee (Phí chậm thanh toán)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6B0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VND400,000/week/bill (tuần/bill)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E46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VND421,053 /week/bill (tuần/bill)</w:t>
            </w:r>
          </w:p>
        </w:tc>
      </w:tr>
      <w:tr w:rsidR="0076228A" w:rsidRPr="0076228A" w14:paraId="099DA47A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BB2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Administration Fee (Phí chỉnh sửa thông tin khách hàng/giá/cảng) (hàng đi Canada và Mỹ)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D5C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C405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76228A" w:rsidRPr="0076228A" w14:paraId="200CAE0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7F6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2D31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97A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76228A" w:rsidRPr="0076228A" w14:paraId="59B041F6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DF45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2F88E" w14:textId="5DF1943A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VND4,928,000/lần (chỉnh sửa/thêm thông tin khách hàng/thay đổi giá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48B7" w14:textId="4D1FF472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VND5,187,368/lần (chỉnh sửa/thêm thông tin khách hàng/thay đổi giá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250F5333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5E0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D5F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VND12,320,000/lần (thay đổi cảng)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BFB2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VND12,968,421/lần (thay đổi cảng)</w:t>
            </w:r>
          </w:p>
        </w:tc>
      </w:tr>
      <w:tr w:rsidR="0076228A" w:rsidRPr="0076228A" w14:paraId="24C3EDAF" w14:textId="77777777" w:rsidTr="0076228A">
        <w:trPr>
          <w:trHeight w:val="9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964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(Phí phát hành lại/điều chỉnh/hủy hóa đơn sau khi đã xuất theo yêu cầu khách hàng)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E12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VND500,000/invoice (hóa đơn)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A5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VND526,316/invoice (hóa đơn)</w:t>
            </w:r>
          </w:p>
        </w:tc>
      </w:tr>
      <w:tr w:rsidR="0076228A" w:rsidRPr="0076228A" w14:paraId="4AF9FA93" w14:textId="77777777" w:rsidTr="0076228A">
        <w:trPr>
          <w:trHeight w:val="115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2094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A8C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VND120,000/invoice (hóa đơn) - biên bản điều chỉnh thông tin tên công ty và địa chỉ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9AF6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VND126,316/invoice (hóa đơn) - biên bản điều chỉnh thông tin tên công ty và địa chỉ</w:t>
            </w:r>
          </w:p>
        </w:tc>
      </w:tr>
      <w:tr w:rsidR="0076228A" w:rsidRPr="0076228A" w14:paraId="3AB9A9AB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A72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POWER CHARGE (Phát sinh phí cắm điện)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580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763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9B0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8DC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1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2" w:name="_Hlk98749059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Giá chưa bao gồm </w:t>
      </w:r>
      <w:bookmarkEnd w:id="2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Giá bao gồm </w:t>
      </w:r>
      <w:r w:rsidR="00093DAA" w:rsidRPr="00093DAA">
        <w:rPr>
          <w:b/>
          <w:bCs/>
          <w:color w:val="000000" w:themeColor="text1"/>
          <w:spacing w:val="-2"/>
        </w:rPr>
        <w:t>thuế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phát sinh khi khách hàng hủy booking và trả container rỗng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 lưu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(Giá chưa bao gồm </w:t>
            </w:r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Giá bao gồm </w:t>
            </w:r>
            <w:r w:rsidR="00093DAA">
              <w:rPr>
                <w:color w:val="000000" w:themeColor="text1"/>
                <w:spacing w:val="-2"/>
              </w:rPr>
              <w:t>thuế</w:t>
            </w:r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*Giá từ 01/01/2025 đến khi có thông báo mới</w:t>
      </w:r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8F8A" w14:textId="77777777" w:rsidR="00C77EA8" w:rsidRDefault="00C77EA8" w:rsidP="00A35058">
      <w:pPr>
        <w:spacing w:after="0" w:line="240" w:lineRule="auto"/>
      </w:pPr>
      <w:r>
        <w:separator/>
      </w:r>
    </w:p>
  </w:endnote>
  <w:endnote w:type="continuationSeparator" w:id="0">
    <w:p w14:paraId="28ED752A" w14:textId="77777777" w:rsidR="00C77EA8" w:rsidRDefault="00C77EA8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15B8" w14:textId="77777777" w:rsidR="00C77EA8" w:rsidRDefault="00C77EA8" w:rsidP="00A35058">
      <w:pPr>
        <w:spacing w:after="0" w:line="240" w:lineRule="auto"/>
      </w:pPr>
      <w:r>
        <w:separator/>
      </w:r>
    </w:p>
  </w:footnote>
  <w:footnote w:type="continuationSeparator" w:id="0">
    <w:p w14:paraId="5E97353E" w14:textId="77777777" w:rsidR="00C77EA8" w:rsidRDefault="00C77EA8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5D64"/>
    <w:rsid w:val="00123676"/>
    <w:rsid w:val="0013133F"/>
    <w:rsid w:val="00132858"/>
    <w:rsid w:val="00134BF0"/>
    <w:rsid w:val="00134C1B"/>
    <w:rsid w:val="00155BD6"/>
    <w:rsid w:val="0017134A"/>
    <w:rsid w:val="001740AC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D3658"/>
    <w:rsid w:val="001D4ABE"/>
    <w:rsid w:val="001D5019"/>
    <w:rsid w:val="001E24B5"/>
    <w:rsid w:val="00200763"/>
    <w:rsid w:val="00202EF2"/>
    <w:rsid w:val="00225FBE"/>
    <w:rsid w:val="00234603"/>
    <w:rsid w:val="00246FA6"/>
    <w:rsid w:val="002571B4"/>
    <w:rsid w:val="00260AB2"/>
    <w:rsid w:val="00286D4C"/>
    <w:rsid w:val="002952DE"/>
    <w:rsid w:val="002A2100"/>
    <w:rsid w:val="002A3E6E"/>
    <w:rsid w:val="002A71F3"/>
    <w:rsid w:val="002B0A7D"/>
    <w:rsid w:val="002B400B"/>
    <w:rsid w:val="002B7AC4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2CC"/>
    <w:rsid w:val="00377F1E"/>
    <w:rsid w:val="00392292"/>
    <w:rsid w:val="00393D87"/>
    <w:rsid w:val="003B0F83"/>
    <w:rsid w:val="003B38AF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4359"/>
    <w:rsid w:val="004B7A43"/>
    <w:rsid w:val="004C0B28"/>
    <w:rsid w:val="004C2398"/>
    <w:rsid w:val="004D2A56"/>
    <w:rsid w:val="004E3EA7"/>
    <w:rsid w:val="004E7963"/>
    <w:rsid w:val="004F0541"/>
    <w:rsid w:val="00514E35"/>
    <w:rsid w:val="00563390"/>
    <w:rsid w:val="00574388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80224"/>
    <w:rsid w:val="00682772"/>
    <w:rsid w:val="0069687F"/>
    <w:rsid w:val="006A62CB"/>
    <w:rsid w:val="006B2004"/>
    <w:rsid w:val="006E16AF"/>
    <w:rsid w:val="006E2814"/>
    <w:rsid w:val="006F74FC"/>
    <w:rsid w:val="0070436E"/>
    <w:rsid w:val="00711FA9"/>
    <w:rsid w:val="0072621D"/>
    <w:rsid w:val="00726F19"/>
    <w:rsid w:val="007274A6"/>
    <w:rsid w:val="00736ACC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2DC6"/>
    <w:rsid w:val="007A159C"/>
    <w:rsid w:val="007A75F8"/>
    <w:rsid w:val="007C2B38"/>
    <w:rsid w:val="007D500D"/>
    <w:rsid w:val="007E0069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2E91"/>
    <w:rsid w:val="00996502"/>
    <w:rsid w:val="00997646"/>
    <w:rsid w:val="009A51D9"/>
    <w:rsid w:val="009A7B7A"/>
    <w:rsid w:val="009B0654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4C16"/>
    <w:rsid w:val="00A858AB"/>
    <w:rsid w:val="00A85EF2"/>
    <w:rsid w:val="00A90456"/>
    <w:rsid w:val="00A93204"/>
    <w:rsid w:val="00A953C3"/>
    <w:rsid w:val="00A96D23"/>
    <w:rsid w:val="00AA0F29"/>
    <w:rsid w:val="00AA4871"/>
    <w:rsid w:val="00AA56AB"/>
    <w:rsid w:val="00AA72F9"/>
    <w:rsid w:val="00AB17F6"/>
    <w:rsid w:val="00AB274F"/>
    <w:rsid w:val="00AD6DA7"/>
    <w:rsid w:val="00AE1984"/>
    <w:rsid w:val="00AE6EDA"/>
    <w:rsid w:val="00AF3E44"/>
    <w:rsid w:val="00AF44D3"/>
    <w:rsid w:val="00AF7AFA"/>
    <w:rsid w:val="00B13BCE"/>
    <w:rsid w:val="00B20B5C"/>
    <w:rsid w:val="00B230CE"/>
    <w:rsid w:val="00B345A4"/>
    <w:rsid w:val="00B350EA"/>
    <w:rsid w:val="00B52815"/>
    <w:rsid w:val="00B600AD"/>
    <w:rsid w:val="00B74D94"/>
    <w:rsid w:val="00B81714"/>
    <w:rsid w:val="00B861A6"/>
    <w:rsid w:val="00BA5594"/>
    <w:rsid w:val="00BC2AE1"/>
    <w:rsid w:val="00BD7C86"/>
    <w:rsid w:val="00BE62E5"/>
    <w:rsid w:val="00BF1CD7"/>
    <w:rsid w:val="00C0391B"/>
    <w:rsid w:val="00C05CBB"/>
    <w:rsid w:val="00C21D74"/>
    <w:rsid w:val="00C230AE"/>
    <w:rsid w:val="00C32364"/>
    <w:rsid w:val="00C359C6"/>
    <w:rsid w:val="00C372B8"/>
    <w:rsid w:val="00C43B68"/>
    <w:rsid w:val="00C47E08"/>
    <w:rsid w:val="00C52505"/>
    <w:rsid w:val="00C54FEA"/>
    <w:rsid w:val="00C61A9E"/>
    <w:rsid w:val="00C67221"/>
    <w:rsid w:val="00C7403E"/>
    <w:rsid w:val="00C77EA8"/>
    <w:rsid w:val="00C812CE"/>
    <w:rsid w:val="00C82EE1"/>
    <w:rsid w:val="00C928B1"/>
    <w:rsid w:val="00C95B1E"/>
    <w:rsid w:val="00C968C9"/>
    <w:rsid w:val="00C96C59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67ED"/>
    <w:rsid w:val="00D2753A"/>
    <w:rsid w:val="00D27FCB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C52"/>
    <w:rsid w:val="00E060AB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72D7"/>
    <w:rsid w:val="00E92F1F"/>
    <w:rsid w:val="00E97578"/>
    <w:rsid w:val="00EB3A1B"/>
    <w:rsid w:val="00EE3C11"/>
    <w:rsid w:val="00F045C7"/>
    <w:rsid w:val="00F06A49"/>
    <w:rsid w:val="00F21DB8"/>
    <w:rsid w:val="00F35CC0"/>
    <w:rsid w:val="00F569C9"/>
    <w:rsid w:val="00F67BE9"/>
    <w:rsid w:val="00F81A36"/>
    <w:rsid w:val="00F905A9"/>
    <w:rsid w:val="00F9713C"/>
    <w:rsid w:val="00F97837"/>
    <w:rsid w:val="00FA63B8"/>
    <w:rsid w:val="00FA63CB"/>
    <w:rsid w:val="00FB53DB"/>
    <w:rsid w:val="00FB674C"/>
    <w:rsid w:val="00FC21E6"/>
    <w:rsid w:val="00FC3F63"/>
    <w:rsid w:val="00FD34BB"/>
    <w:rsid w:val="00FD64DC"/>
    <w:rsid w:val="00FE24C4"/>
    <w:rsid w:val="00FE7F9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54</cp:revision>
  <cp:lastPrinted>2024-04-05T09:33:00Z</cp:lastPrinted>
  <dcterms:created xsi:type="dcterms:W3CDTF">2024-04-05T06:04:00Z</dcterms:created>
  <dcterms:modified xsi:type="dcterms:W3CDTF">2025-03-12T04:17:00Z</dcterms:modified>
</cp:coreProperties>
</file>